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Jesus, the Loving Shepherd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#369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Jesus, the loving Shepherd,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Calleth thee now to come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Into the fold of safety,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Where there is rest and room;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Come in the strength of manhood,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Come in the morn of youth,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Enter the fold of safety,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Enter the way of truth.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Lovingly, tenderly calling is he;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Wanderer, wanderer, come unto me,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Patiently standing there, waiting, I see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Jesus my Shepherd divine.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Jesus, the loving Shepherd,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Gave his dear life for thee,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Tenderly now he's calling,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Wanderer, come to me;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Haste, for without is danger,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Come, cries the Shepherd blest,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Enter the fold of safety,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Enter the place of rest. [Chorus]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Lingering is but folly,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Wolves are abroad today,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Seeking the sheep now straying,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Seeking the lambs to stay;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Jesus, the loving Shepherd,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Calleth thee now to come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Into the fold of safety,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When there is rest and room.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Cristo, el Pastor amante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Cristo,_el Pastor amante,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Te llama a venir;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Seguridad, reposo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Se_hallan en su redil.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Ven, siendo_adulto_y fuerte,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O_en tu temprana_edad;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Entra_al redil seguro,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 senda de verdad.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Cuan tiernamente llamando_Él está: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“Ven a mí, tú que vagando estás”.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Paciente,_allí esperando, verás: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Cristo_el divino Pastor.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Cristo,_el Pastor amante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Su vida dio por ti.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Hoy con ternura llama: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“No vagues más; ven a mí”.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Afuera hay peligro;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“¡Ven!” clama_el buen Pastor.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“Entra_al redil seguro;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Reposa en mi_amor”.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Ve ya; no seas necio.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Lobos rapaces hay;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La_oveja descarriada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 ellos presa será.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Cristo,_el Pastor amante,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Te llama a venir;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Seguridad, reposo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Se_hallan en su redil.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