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Rise up, O men of God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PFTL #554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  <w:br w:type="textWrapping"/>
        <w:t xml:space="preserve">Rise up, O men of God!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Have done with lesser things;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Give heart and soul and mind and strength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To serve the King of kings.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Rise up, O men of God!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The kingdom tarries long;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Bring in the day of brotherhood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And end the night of wrong.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Rise up, O men of God!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 church for you doth wait,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Her strength unequal to her task;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Rise up, and make her great.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Lift high the cross of Christ!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Tread where his feet have trod;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As brothers the Son of Man,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Rise up, O men of God!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Hermanos, levantaos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¡Hermanos, levantaos!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Todo_ídolo romped.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Con fuerza, mente,_y corazón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Servid a vuestro Rey.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¡Hermanos, levantaos!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No le_hagas esperar.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La noche de maldad se fue;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Es día de_hermandad.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¡Hermanos, levantaos!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La iglesia defended.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Su fuerza no alcanzará;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Idla_a fortalecer.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¡La cruz de Cristo_alzad!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Seguid de Él en pos.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Del hombre_el Hijo_hermanos sois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¡Hermanos, levantaos!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