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 me thy way, O Lord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#620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Teach me thy way, O Lord; teach me thy way!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Thy guiding grace afford; teach me thy way!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Help me to walk aright, more by faith, less by sight;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lead me with heav’nly light; teach me thy way!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I am sad at heart, teach me thy way!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When earthly joys depart, teach me thy way!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hours of loneliness, in times of dire distress,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failure or success, teach me thy way!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When doubts and fears arise, teach me thy way!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When storms o'erspread the skies, teach me thy way!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Shine thro' the cloud and rain, thro' sorrow, toil, and pain;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make thou my pathway plain; teach me thy way!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Long as my life shall last, teach me thy way!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Where’er my lot be cast, teach me thy way!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Until the race is run, until the journey’s done,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until the crown is won, teach me thy way!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Enséñame, Señor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¡Enséñame, Señor; oh,_enséñame!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Condúceme_en tu_amor, y_enséñame.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Ayúdame_a andar por fe y_en ti confiar;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Envía tu luz a guiar; oh,_enséñame.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 días de gran pesar, ¡enséñame!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Sin gozo terrenal, ¡oh enséñame!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 horas de_aflicción o de separación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Éxito_o frustración, enséñame.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duda_o soledad, ¡enseñame!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Brilla_en la tempestad, y_enseñame.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 lluvias de temor, tristeza o dolor,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Alumbra mi labor.  Oh, enseñame.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Mientras con vida_esté, enséñame.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Doquier que pise_el pie, enséñame.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Hasta_a mi_hogar llegar, la meta alcanzar,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El galardón ganar, enséñame.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