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Again the Lord of Light and Life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PFTL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Again the Lord of light and life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Awakes the kindling ray,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Unseals the eyelids of the morn,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And pours increasing day.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 what a night was that which wrapt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heathen world in gloom!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 what a Sun which rose this day Triumphant from the tomb!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This day be grateful homage paid,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And loud hosannas sung;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Let gladness dwell in ev'ry heart,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And praise on ev'ry tongue.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Ten thousand diff'rent lips shall join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To hail this welcome morn,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Which scatters blessings from its wings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To nations yet unborn.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De nuevo_el Dios de vida_y luz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De nuevo_el Dios de vida_y luz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Despierta el albor,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Los ojos del amanecer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Abriendo con el sol.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Envuelta por la_oscuridad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El mundo se_encontró,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Hasta que_el Sol se levantó,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De muerte_el vencedor.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Rindamos homenaje hoy,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Y_hosannas al Señor,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Con gozo_en cada corazón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Y_en cada lengua, loor.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Mil labios hoy se unirán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El día_a acoger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Cuya_ala_esparce bendición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 pueblos sin nacer.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