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people that on earth do dwell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#17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people that on earth do dwell,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sing to the Lord with cheerful voice.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Serve him with joy, his praises tell,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come now before him and rejoice!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Know that the Lord is God indeed;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he formed us all without our aid.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are the flock he comes to feed,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sheep who by his hand were made.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 enter then his gates with praise,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Approach with joy his courts unto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Praise, laud, and bless his name always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it is seemly so to do.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For why? the Lord our God is good,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his mercy is forever sure.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His faithfulness at all times stood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 shall from age to age endure.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 habitante terrenal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Todo_habitante terrenal: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Cantad con gozo_a vuestro Dios.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Temblad, servidle, alabad,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Venid ante_Él, regocijaos.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Sabed que Dios es el SEÑOR;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Sin nuestra_ayuda nos formó.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Ovejas somos, y_Él Pastor;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Por su rebaño nos tomó.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Con gracias por su puerta_entrad;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 gozo a sus atrios id.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Bueno_es a Jehová_alabar;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Su nombre siempre bendecid.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¿Por qué? Pues bueno_es Jehová;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Constante es su compasión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Y para siempre_es su verdad,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Fiel a toda generación.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