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Hark! the gentle voice of Jesus falleth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Hark! the gentle voice of Jesus falleth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Tenderly upon your ear;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Sweet His cry of love and pity calleth;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Turn and listen, stay and hear.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Ye that labor and are heavy-laden,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Lean upon your dear Lord’s breast;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Ye that labor and are heavy-laden,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Come, and I will give you rest.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Take His yoke, for He is meek and lowly;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Bear His burden, to Him turn;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 who calleth is the Master holy: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 will teach if you will learn. [Refrain]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Then, His loving, tender voice obeying,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Bear His yoke, His burden take;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Find the yoke His hand is on you laying,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Light and easy for His sake. [Refrain]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¡Oye! Es la voz de_Aquel que te_ama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¡Oye! Es la voz de_Aquel que te_ama;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Tiernamente_invita_a ti.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Con amor y compasión te llama;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Vuelve,_y quédate a oír.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Si_estás trabajado y cargado,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Sobre mí repósate.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Si_estás trabajado y cargado,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Ven; descanso te daré.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Acepta su yugo, que_Él es manso;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Vuélvete_y su siervo sé.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El que llama es el Maestro santo;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Ven, aprende a sus pies.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Obedece esa voz benigna;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Sobre ti su yugo pon.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Ve: ligera_y fácil es la carga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Que te pone en su_amor.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