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Where Charity and Love Prevail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#759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Where charity and love prevail,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There God is ever found;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Bro’t here together by Christ’s love,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By love are we thus bound.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With grateful joy and holy fear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His charity we learn;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Let us with heart and mind and soul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Now love Him in return.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Forgive we now each other’s faults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As we our faults confess,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And let us love each other well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 Christian holiness.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Let strife among us be unknown;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Let all contention cease;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Be His the glory that we see;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Be ours His holy peace.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Let us recall that in our midst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Dwells God’s begotten Son;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As members of His body joined,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We are in Him made one.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prevalece el amor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Do prevalece el amor,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Dios se_hallará allí;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Nos trajo Cristo en Su_amor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Y nos unió así.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Como_aprendemos su amor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Con gozo y temor,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Con mente, alma,_y corazón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Amemos al Señor.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Gozándonos en perdonar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Y_en mutua confesión,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Amémonos en santidad,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De todo corazón.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Que cese toda lucha_aquí;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Contiendas no_haya más.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Su gloria sea nuestra visión,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Y nuestra sea Du paz.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Morada somos de Jesús,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El Unigénito;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Cual miembros de Su cuerpo Dios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En Cristo nos unió.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